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CE94E">
      <w:pPr>
        <w:widowControl/>
        <w:spacing w:line="360" w:lineRule="auto"/>
        <w:ind w:firstLine="482"/>
        <w:contextualSpacing/>
        <w:jc w:val="center"/>
        <w:rPr>
          <w:rFonts w:hint="eastAsia" w:ascii="黑体" w:hAnsi="黑体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海漆</w:t>
      </w:r>
    </w:p>
    <w:p w14:paraId="047F0286">
      <w:pPr>
        <w:widowControl/>
        <w:spacing w:line="360" w:lineRule="auto"/>
        <w:ind w:firstLine="482"/>
        <w:contextualSpacing/>
        <w:jc w:val="center"/>
        <w:rPr>
          <w:rFonts w:hint="eastAsia" w:ascii="黑体" w:hAnsi="黑体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Haiqi</w:t>
      </w:r>
    </w:p>
    <w:p w14:paraId="1790701A">
      <w:pPr>
        <w:widowControl/>
        <w:spacing w:line="360" w:lineRule="auto"/>
        <w:ind w:firstLine="482"/>
        <w:contextualSpacing/>
        <w:jc w:val="center"/>
        <w:rPr>
          <w:rFonts w:hint="default"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EXCOECARIAE AGALLOCHAE CAULIS ET FOLIUM</w:t>
      </w:r>
    </w:p>
    <w:p w14:paraId="1B2954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本品为大戟科植物海漆</w:t>
      </w:r>
      <w:r>
        <w:rPr>
          <w:rFonts w:hint="default" w:ascii="Times New Roman" w:hAnsi="Times New Roman" w:eastAsia="等线" w:cs="Times New Roman"/>
          <w:i/>
          <w:i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Excoecaria agallocha </w:t>
      </w:r>
      <w:r>
        <w:rPr>
          <w:rFonts w:hint="default" w:ascii="Times New Roman" w:hAnsi="Times New Roman" w:eastAsia="等线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L.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的干燥茎枝和叶。全年均可采收，除去杂质，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干燥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1BA9A4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【性状】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本品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茎枝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圆柱状，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直径0.3～2cm，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表面浅灰棕色或浅棕色，有细纵纹及细小圆形皮孔，质坚韧，不易折断，断面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纤维性强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，木部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白色。叶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多脱落、皱缩、破碎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完整者展平后呈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椭圆形或阔椭圆形，长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10cm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，宽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1.5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5cm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黄绿色，先端渐尖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，基部钝圆或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宽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楔形，全缘，两面均无毛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叶柄顶端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可见两个黑色圆形小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腺体。气微香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味微咸。</w:t>
      </w:r>
    </w:p>
    <w:p w14:paraId="5623C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【鉴别】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茎</w:t>
      </w:r>
      <w:r>
        <w:rPr>
          <w:rFonts w:hint="eastAsia" w:ascii="Times New Roman" w:hAnsi="Times New Roman" w:eastAsia="宋体" w:cs="Times New Roman"/>
          <w:sz w:val="24"/>
        </w:rPr>
        <w:t>枝横切面：木栓层由4～11列扁平木栓细胞组成。皮层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较宽，</w:t>
      </w:r>
      <w:r>
        <w:rPr>
          <w:rFonts w:hint="eastAsia" w:ascii="Times New Roman" w:hAnsi="Times New Roman" w:eastAsia="宋体" w:cs="Times New Roman"/>
          <w:sz w:val="24"/>
        </w:rPr>
        <w:t>韧皮部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较</w:t>
      </w:r>
      <w:r>
        <w:rPr>
          <w:rFonts w:hint="eastAsia" w:ascii="Times New Roman" w:hAnsi="Times New Roman" w:eastAsia="宋体" w:cs="Times New Roman"/>
          <w:sz w:val="24"/>
        </w:rPr>
        <w:t>窄，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均可见乳汁管、纤维束及草酸钙方晶</w:t>
      </w:r>
      <w:r>
        <w:rPr>
          <w:rFonts w:hint="eastAsia" w:ascii="Times New Roman" w:hAnsi="Times New Roman" w:eastAsia="宋体" w:cs="Times New Roman"/>
          <w:sz w:val="24"/>
        </w:rPr>
        <w:t>。木质部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宽，</w:t>
      </w:r>
      <w:r>
        <w:rPr>
          <w:rFonts w:hint="eastAsia" w:ascii="Times New Roman" w:hAnsi="Times New Roman" w:eastAsia="宋体" w:cs="Times New Roman"/>
          <w:sz w:val="24"/>
        </w:rPr>
        <w:t>导管单个或数个径向排列。髓部薄壁细胞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类圆形，有的含有草酸钙方晶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 w14:paraId="36345A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粉末灰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色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至黄棕色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。淀粉粒众多，单粒类圆形，直径13～23μ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，复粒由2～3分粒组成。纤维成束，周围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薄壁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细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含草酸钙方晶，形成晶纤维。</w:t>
      </w:r>
      <w:bookmarkStart w:id="0" w:name="OLE_LINK11"/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乳汁管不分支，</w:t>
      </w:r>
      <w:bookmarkEnd w:id="0"/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内含浅黄色至黄褐色分泌物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草酸钙方晶众多，常散在。草酸钙簇晶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直径10～40μ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m，存在于薄壁细胞中，常排列成行。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导管多为具缘纹孔和网纹导管，直径23～53μm。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叶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表皮细胞类方形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或多角形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平直或稍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连珠状增厚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有的可见气孔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1724C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取本品粉末1g，加甲醇10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，超声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处理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30分钟，滤过，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滤液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蒸干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，残渣加甲醇1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使溶解，作为供试品溶液。另取海漆对照药材1g，同法制成对照药材溶液。照薄层色谱法（《中国药典》2025版四部通则0502薄层色谱法）试验，分别吸取上述溶液3</w:t>
      </w:r>
      <w:bookmarkStart w:id="1" w:name="OLE_LINK102"/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μ</w:t>
      </w:r>
      <w:bookmarkEnd w:id="1"/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，分别点于同一硅胶G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薄层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板上，以二氯甲烷-石油醚</w:t>
      </w:r>
      <w:r>
        <w:rPr>
          <w:rFonts w:hint="eastAsia" w:ascii="Times New Roman" w:hAnsi="Times New Roman" w:eastAsia="宋体" w:cs="Times New Roman"/>
          <w:sz w:val="24"/>
          <w:szCs w:val="28"/>
        </w:rPr>
        <w:t>（60～90℃）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-</w:t>
      </w:r>
      <w:bookmarkStart w:id="2" w:name="_GoBack"/>
      <w:bookmarkEnd w:id="2"/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乙酸乙酯-甲酸（6:2:1:0.15）为展开剂，展开，取出，晾干，置紫外光灯（365nm）下检视。供试品色谱中，在与对照药材色谱相应位置上，显相同颜色的荧光斑点。</w:t>
      </w:r>
    </w:p>
    <w:p w14:paraId="68F734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【检查】水分</w:t>
      </w:r>
      <w:r>
        <w:rPr>
          <w:rFonts w:hint="default" w:ascii="Times New Roman" w:hAnsi="Times New Roman" w:eastAsia="等线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14:textFill>
            <w14:solidFill>
              <w14:schemeClr w14:val="tx1"/>
            </w14:solidFill>
          </w14:textFill>
        </w:rPr>
        <w:t>14.0%（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《中国药典》2025年版通则0832第二法）。</w:t>
      </w:r>
    </w:p>
    <w:p w14:paraId="6EA1ED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总灰分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14:textFill>
            <w14:solidFill>
              <w14:schemeClr w14:val="tx1"/>
            </w14:solidFill>
          </w14:textFill>
        </w:rPr>
        <w:t>12.0%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（《中国药典》2025年版通则2302）。</w:t>
      </w:r>
    </w:p>
    <w:p w14:paraId="7E664A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【浸出物】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照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醇溶性浸出物测定法（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《中国药典》2025年版通则2201）项下的热浸法测定，用75%乙醇作溶剂，不得少于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.0%。</w:t>
      </w:r>
    </w:p>
    <w:p w14:paraId="00A3A0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炮制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除去杂质，切段，干燥。</w:t>
      </w:r>
    </w:p>
    <w:p w14:paraId="668DD51A">
      <w:pPr>
        <w:widowControl/>
        <w:spacing w:line="360" w:lineRule="auto"/>
        <w:ind w:firstLine="480" w:firstLineChars="200"/>
        <w:contextualSpacing/>
        <w:jc w:val="left"/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【性味与归经】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辛、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甘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有毒。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归肺、大肠经。</w:t>
      </w:r>
    </w:p>
    <w:p w14:paraId="1FE9BCB8">
      <w:pPr>
        <w:widowControl/>
        <w:spacing w:line="360" w:lineRule="auto"/>
        <w:ind w:firstLine="480" w:firstLineChars="200"/>
        <w:contextualSpacing/>
        <w:jc w:val="left"/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【功能与主治】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清肺止咳，泻下通便，解毒消肿。用于肺热咳嗽、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实热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便秘，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疮疡久不收口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手足肿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痛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</w:t>
      </w:r>
    </w:p>
    <w:p w14:paraId="7A705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【用法与用量】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0.5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1.5g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。外用适量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研末调涂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</w:t>
      </w:r>
    </w:p>
    <w:p w14:paraId="429BD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eastAsia" w:ascii="宋体" w:hAnsi="宋体" w:eastAsia="宋体" w:cs="Times New Roman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【贮藏】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E3"/>
    <w:rsid w:val="00004A28"/>
    <w:rsid w:val="0011375F"/>
    <w:rsid w:val="001232BE"/>
    <w:rsid w:val="002765A7"/>
    <w:rsid w:val="00373FAA"/>
    <w:rsid w:val="004171B9"/>
    <w:rsid w:val="005A0E68"/>
    <w:rsid w:val="0062191A"/>
    <w:rsid w:val="006328DD"/>
    <w:rsid w:val="00773BE3"/>
    <w:rsid w:val="007E4983"/>
    <w:rsid w:val="00880917"/>
    <w:rsid w:val="00897E2A"/>
    <w:rsid w:val="00906F26"/>
    <w:rsid w:val="00996EE7"/>
    <w:rsid w:val="00A42277"/>
    <w:rsid w:val="00B0696C"/>
    <w:rsid w:val="00F50A01"/>
    <w:rsid w:val="00FA7215"/>
    <w:rsid w:val="00FD2260"/>
    <w:rsid w:val="1490197E"/>
    <w:rsid w:val="16243BDF"/>
    <w:rsid w:val="1821389C"/>
    <w:rsid w:val="28C52D57"/>
    <w:rsid w:val="36381C83"/>
    <w:rsid w:val="3F550865"/>
    <w:rsid w:val="4D560E89"/>
    <w:rsid w:val="5E0A0A9B"/>
    <w:rsid w:val="6D464F20"/>
    <w:rsid w:val="7FED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keepLines/>
      <w:widowControl/>
      <w:spacing w:line="360" w:lineRule="auto"/>
      <w:ind w:firstLine="482"/>
      <w:jc w:val="left"/>
      <w:outlineLvl w:val="0"/>
    </w:pPr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0"/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c3b34843-8bb4-44f1-8f38-fd900b86a4aa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11724CC1</paraID>
      <start>156</start>
      <end>158</end>
      <status>modified</status>
      <modifiedWord>－</modifiedWord>
      <trackRevisions>true</trackRevisions>
    </reviewItem>
    <reviewItem>
      <errorID>d45197cc-7be4-4d81-810e-4de5fbe8be51</errorID>
      <errorWord>紫外光</errorWord>
      <group>L1_Word</group>
      <groupName>字词问题</groupName>
      <ability>L2_Typo</ability>
      <abilityName>字词错误</abilityName>
      <candidateList>
        <item>紫外线</item>
      </candidateList>
      <explain/>
      <paraID>11724CC1</paraID>
      <start>192</start>
      <end>195</end>
      <status>ignored</status>
      <modifiedWord/>
      <trackRevisions>false</trackRevisions>
    </reviewItem>
    <reviewItem>
      <errorID>ee3bccc3-2c11-4efa-acd4-07cae4a3881a</errorID>
      <errorWord>实热</errorWord>
      <group>L1_Word</group>
      <groupName>字词问题</groupName>
      <ability>L2_Typo</ability>
      <abilityName>字词错误</abilityName>
      <candidateList>
        <item>湿热</item>
      </candidateList>
      <explain/>
      <paraID>1FE9BCB8</paraID>
      <start>29</start>
      <end>31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d2d67e9-d3d8-48f1-98e2-f9dd52f05f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887</Words>
  <Characters>1031</Characters>
  <Lines>8</Lines>
  <Paragraphs>2</Paragraphs>
  <TotalTime>23</TotalTime>
  <ScaleCrop>false</ScaleCrop>
  <LinksUpToDate>false</LinksUpToDate>
  <CharactersWithSpaces>1041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2025-09-15T02:32:00Z</dcterms:created>
  <dc:creator>凯 杨</dc:creator>
  <cp:lastModifiedBy>木木</cp:lastModifiedBy>
  <dcterms:modified xsi:type="dcterms:W3CDTF">2025-11-22T03:30:34Z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1B85DE711C9E4DA3AD6CA66910C4D305_13</vt:lpwstr>
  </property>
</Properties>
</file>